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DICHIARAZIONI INTEGRATIVE AL DGUE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DA INSERIRE NELLA BUSTA TELEMATICA &lt;DOCUMENTAZIONE AMMINISTRATIVA&gt;</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Calibri"/>
          <w:bCs/>
          <w:iCs/>
          <w:color w:val="000000"/>
          <w:sz w:val="24"/>
          <w:szCs w:val="24"/>
          <w:lang w:eastAsia="it-IT"/>
        </w:rPr>
      </w:pPr>
      <w:r>
        <w:rPr>
          <w:rFonts w:cs="Times New Roman" w:ascii="Times New Roman" w:hAnsi="Times New Roman"/>
          <w:sz w:val="24"/>
          <w:szCs w:val="24"/>
          <w:lang w:eastAsia="it-IT"/>
        </w:rPr>
        <w:t xml:space="preserve">Procedura aperta su SINTEL per l’affidamento </w:t>
      </w:r>
      <w:r>
        <w:rPr>
          <w:rFonts w:ascii="Times New Roman" w:hAnsi="Times New Roman"/>
          <w:sz w:val="24"/>
          <w:szCs w:val="24"/>
          <w:lang w:eastAsia="it-IT"/>
        </w:rPr>
        <w:t xml:space="preserve">di servizi integrati per la gestione dell’Asilo nido d’infanzia comunale “L. Lionni” per gli anni educativi </w:t>
      </w:r>
      <w:r>
        <w:rPr>
          <w:rFonts w:eastAsia="Calibri" w:ascii="Times New Roman" w:hAnsi="Times New Roman"/>
          <w:bCs/>
          <w:iCs/>
          <w:color w:val="000000"/>
          <w:sz w:val="24"/>
          <w:szCs w:val="24"/>
          <w:lang w:eastAsia="it-IT"/>
        </w:rPr>
        <w:t>2021/2022 - 2022/2023 – 2023/2024 con opzione di rinnovo per gli anni 2024/2025 e 2025/2026</w:t>
      </w:r>
    </w:p>
    <w:p>
      <w:pPr>
        <w:pStyle w:val="Normal"/>
        <w:rPr>
          <w:rFonts w:ascii="Times New Roman" w:hAnsi="Times New Roman"/>
          <w:sz w:val="24"/>
          <w:szCs w:val="24"/>
          <w:lang w:eastAsia="it-IT"/>
        </w:rPr>
      </w:pPr>
      <w:r>
        <w:rPr>
          <w:rFonts w:eastAsia="Calibri" w:ascii="Times New Roman" w:hAnsi="Times New Roman"/>
          <w:bCs/>
          <w:iCs/>
          <w:color w:val="000000"/>
          <w:sz w:val="24"/>
          <w:szCs w:val="24"/>
          <w:lang w:eastAsia="it-IT"/>
        </w:rPr>
        <w:t xml:space="preserve">CIG: </w:t>
      </w:r>
      <w:r>
        <w:rPr>
          <w:rFonts w:eastAsia="Calibri" w:cs="Times New Roman" w:ascii="Times New Roman" w:hAnsi="Times New Roman"/>
          <w:bCs/>
          <w:iCs/>
          <w:color w:val="000000"/>
          <w:sz w:val="24"/>
          <w:szCs w:val="24"/>
          <w:shd w:fill="auto" w:val="clear"/>
          <w:lang w:eastAsia="it-IT"/>
        </w:rPr>
        <w:t> 877911855B</w:t>
      </w:r>
    </w:p>
    <w:p>
      <w:pPr>
        <w:pStyle w:val="Default"/>
        <w:rPr>
          <w:rFonts w:ascii="Times New Roman" w:hAnsi="Times New Roman" w:cs="Times New Roman"/>
          <w:bCs/>
          <w:color w:val="auto"/>
          <w:shd w:fill="FFFF00" w:val="clear"/>
        </w:rPr>
      </w:pPr>
      <w:r>
        <w:rPr>
          <w:rFonts w:cs="Times New Roman" w:ascii="Times New Roman" w:hAnsi="Times New Roman"/>
          <w:bCs/>
          <w:color w:val="000000"/>
          <w:shd w:fill="FFFF00" w:val="clear"/>
        </w:rPr>
      </w:r>
    </w:p>
    <w:p>
      <w:pPr>
        <w:pStyle w:val="Normal"/>
        <w:jc w:val="center"/>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BodyText3"/>
        <w:jc w:val="center"/>
        <w:rPr>
          <w:rFonts w:ascii="Times New Roman" w:hAnsi="Times New Roman" w:eastAsia="Arial-BoldMT" w:cs="Times New Roman"/>
          <w:bCs/>
          <w:color w:val="000000"/>
          <w:kern w:val="0"/>
          <w:sz w:val="24"/>
          <w:szCs w:val="24"/>
          <w:lang w:eastAsia="en-US" w:bidi="ar-SA"/>
        </w:rPr>
      </w:pPr>
      <w:r>
        <w:rPr>
          <w:rFonts w:eastAsia="Arial-BoldMT" w:cs="Times New Roman" w:ascii="Times New Roman" w:hAnsi="Times New Roman"/>
          <w:bCs/>
          <w:color w:val="000000"/>
          <w:kern w:val="0"/>
          <w:sz w:val="24"/>
          <w:szCs w:val="24"/>
          <w:lang w:eastAsia="en-US" w:bidi="ar-SA"/>
        </w:rPr>
      </w:r>
    </w:p>
    <w:p>
      <w:pPr>
        <w:pStyle w:val="Normal"/>
        <w:jc w:val="center"/>
        <w:rPr>
          <w:rFonts w:ascii="Times New Roman" w:hAnsi="Times New Roman" w:eastAsia="Arial-BoldMT" w:cs="Times New Roman"/>
          <w:bCs/>
          <w:color w:val="000000"/>
          <w:sz w:val="24"/>
          <w:szCs w:val="24"/>
        </w:rPr>
      </w:pPr>
      <w:r>
        <w:rPr>
          <w:rFonts w:eastAsia="Arial-BoldMT" w:cs="Times New Roman" w:ascii="Times New Roman" w:hAnsi="Times New Roman"/>
          <w:bCs/>
          <w:color w:val="000000"/>
          <w:sz w:val="24"/>
          <w:szCs w:val="24"/>
        </w:rPr>
        <w:t>DICHIARAZIONE SOSTITUTIVA REDATTA AI SENSI DEL D.P.R. 28/12/2000, N. 445</w:t>
      </w:r>
    </w:p>
    <w:p>
      <w:pPr>
        <w:pStyle w:val="Normal"/>
        <w:jc w:val="center"/>
        <w:rPr>
          <w:rFonts w:ascii="Times New Roman" w:hAnsi="Times New Roman" w:eastAsia="Arial-BoldMT" w:cs="Times New Roman"/>
          <w:bCs/>
          <w:color w:val="000000"/>
          <w:sz w:val="24"/>
          <w:szCs w:val="24"/>
        </w:rPr>
      </w:pPr>
      <w:r>
        <w:rPr>
          <w:rFonts w:eastAsia="Arial-BoldMT" w:cs="Times New Roman" w:ascii="Times New Roman" w:hAnsi="Times New Roman"/>
          <w:bCs/>
          <w:color w:val="000000"/>
          <w:sz w:val="24"/>
          <w:szCs w:val="24"/>
        </w:rPr>
        <w:t>(</w:t>
      </w:r>
      <w:r>
        <w:rPr>
          <w:rFonts w:eastAsia="Arial-BoldMT" w:cs="Times New Roman" w:ascii="Times New Roman" w:hAnsi="Times New Roman"/>
          <w:bCs/>
          <w:color w:val="000000"/>
          <w:sz w:val="24"/>
          <w:szCs w:val="24"/>
          <w:u w:val="single"/>
        </w:rPr>
        <w:t>da presentare dal concorrente/ausiliaria)</w:t>
      </w:r>
    </w:p>
    <w:p>
      <w:pPr>
        <w:pStyle w:val="Normal"/>
        <w:ind w:firstLine="6663"/>
        <w:rPr>
          <w:rFonts w:ascii="Times New Roman" w:hAnsi="Times New Roman" w:eastAsia="Arial-BoldMT" w:cs="Times New Roman"/>
          <w:i/>
          <w:i/>
          <w:iCs/>
          <w:color w:val="000000"/>
          <w:sz w:val="24"/>
          <w:szCs w:val="24"/>
        </w:rPr>
      </w:pPr>
      <w:r>
        <w:rPr>
          <w:rFonts w:eastAsia="Arial-BoldMT" w:cs="Times New Roman" w:ascii="Times New Roman" w:hAnsi="Times New Roman"/>
          <w:i/>
          <w:iCs/>
          <w:color w:val="000000"/>
          <w:sz w:val="24"/>
          <w:szCs w:val="24"/>
        </w:rPr>
      </w:r>
    </w:p>
    <w:p>
      <w:pPr>
        <w:pStyle w:val="Default"/>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Il sottoscritto   &lt;   &gt;    nato a   &lt;     .&gt;  il   &lt;  &gt;   C.F. &lt;     &gt;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residente a   &lt;    &gt;   Prov. &lt;    &gt;   via  &lt;   &gt;    n.  &lt;  &gt;   c.a.p. &lt;    .&gt;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nella sua qualità di   &lt;       &gt;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dell’impresa   &lt;       &gt;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con sede legale in Via   &lt;     &gt;    n. &lt;    &gt;    c.a.p.   </w:t>
      </w:r>
      <w:r>
        <w:rPr>
          <w:sz w:val="23"/>
          <w:szCs w:val="23"/>
        </w:rPr>
        <w:t xml:space="preserve">&lt;     &gt;  </w:t>
      </w:r>
      <w:r>
        <w:rPr>
          <w:rFonts w:cs="Times New Roman" w:ascii="Times New Roman" w:hAnsi="Times New Roman"/>
          <w:bCs/>
          <w:color w:val="auto"/>
        </w:rPr>
        <w:t xml:space="preserve">  Città &lt;     &gt;    Prov &lt;     &gt;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Cod. fiscale Impresa &lt;     &gt;  P. IVA &lt;   &gt;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sz w:val="23"/>
          <w:szCs w:val="23"/>
        </w:rPr>
      </w:pPr>
      <w:r>
        <w:rPr>
          <w:rFonts w:cs="Times New Roman" w:ascii="Times New Roman" w:hAnsi="Times New Roman"/>
          <w:bCs/>
        </w:rPr>
        <w:t xml:space="preserve">tel.  &lt;  .&gt; e-mail </w:t>
      </w:r>
      <w:r>
        <w:rPr>
          <w:sz w:val="23"/>
          <w:szCs w:val="23"/>
        </w:rPr>
        <w:t xml:space="preserve">&lt;      &gt;  </w:t>
      </w:r>
      <w:r>
        <w:rPr>
          <w:rFonts w:cs="Times New Roman" w:ascii="Times New Roman" w:hAnsi="Times New Roman"/>
          <w:bCs/>
        </w:rPr>
        <w:t xml:space="preserve">indirizzo PEC </w:t>
      </w:r>
      <w:r>
        <w:rPr>
          <w:rFonts w:cs="Times New Roman" w:ascii="Times New Roman" w:hAnsi="Times New Roman"/>
          <w:b/>
          <w:bCs/>
        </w:rPr>
        <w:t xml:space="preserve"> &lt;</w:t>
      </w:r>
      <w:r>
        <w:rPr>
          <w:rFonts w:cs="Times New Roman" w:ascii="Times New Roman" w:hAnsi="Times New Roman"/>
        </w:rPr>
        <w:t xml:space="preserve">     </w:t>
      </w:r>
      <w:r>
        <w:rPr>
          <w:rFonts w:cs="Times New Roman" w:ascii="Times New Roman" w:hAnsi="Times New Roman"/>
          <w:b/>
          <w:bCs/>
        </w:rPr>
        <w:t>&gt;</w:t>
      </w:r>
      <w:r>
        <w:rPr>
          <w:sz w:val="23"/>
          <w:szCs w:val="23"/>
        </w:rPr>
        <w:t xml:space="preserve">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w:t>
      </w:r>
      <w:r>
        <w:rPr>
          <w:rFonts w:cs="Times New Roman" w:ascii="Times New Roman" w:hAnsi="Times New Roman"/>
          <w:bCs/>
          <w:i/>
          <w:iCs/>
        </w:rPr>
        <w:t>barrare</w:t>
      </w:r>
      <w:r>
        <w:rPr>
          <w:rFonts w:cs="Times New Roman" w:ascii="Times New Roman" w:hAnsi="Times New Roman"/>
          <w:bCs/>
        </w:rPr>
        <w:t>):</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SINGOLA</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 xml:space="preserve">IMPRESA MANDATARIA/CAPOGRUPPO </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MANDANTE</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AUSILIARIA</w:t>
      </w:r>
    </w:p>
    <w:p>
      <w:pPr>
        <w:pStyle w:val="BodyText3"/>
        <w:rPr>
          <w:rFonts w:ascii="Times New Roman" w:hAnsi="Times New Roman" w:eastAsia="Calibri" w:cs="Times New Roman" w:eastAsiaTheme="minorHAnsi"/>
          <w:b w:val="false"/>
          <w:b w:val="false"/>
          <w:bCs/>
          <w:i/>
          <w:i/>
          <w:iCs/>
          <w:kern w:val="0"/>
          <w:sz w:val="24"/>
          <w:szCs w:val="24"/>
          <w:lang w:eastAsia="en-US" w:bidi="ar-SA"/>
        </w:rPr>
      </w:pPr>
      <w:r>
        <w:rPr>
          <w:rFonts w:eastAsia="Calibri" w:cs="Times New Roman" w:eastAsiaTheme="minorHAnsi" w:ascii="Times New Roman" w:hAnsi="Times New Roman"/>
          <w:b w:val="false"/>
          <w:bCs/>
          <w:i/>
          <w:iCs/>
          <w:kern w:val="0"/>
          <w:sz w:val="24"/>
          <w:szCs w:val="24"/>
          <w:lang w:eastAsia="en-US" w:bidi="ar-SA"/>
        </w:rPr>
      </w:r>
    </w:p>
    <w:p>
      <w:pPr>
        <w:pStyle w:val="BodyText3"/>
        <w:rPr>
          <w:rFonts w:ascii="Times New Roman" w:hAnsi="Times New Roman" w:eastAsia="Calibri" w:cs="Times New Roman" w:eastAsiaTheme="minorHAnsi"/>
          <w:b w:val="false"/>
          <w:b w:val="false"/>
          <w:bCs/>
          <w:i/>
          <w:i/>
          <w:iCs/>
          <w:kern w:val="0"/>
          <w:sz w:val="24"/>
          <w:szCs w:val="24"/>
          <w:lang w:eastAsia="en-US" w:bidi="ar-SA"/>
        </w:rPr>
      </w:pPr>
      <w:r>
        <w:rPr>
          <w:rFonts w:eastAsia="Calibri" w:cs="Times New Roman" w:ascii="Times New Roman" w:hAnsi="Times New Roman" w:eastAsiaTheme="minorHAnsi"/>
          <w:b w:val="false"/>
          <w:bCs/>
          <w:i/>
          <w:iCs/>
          <w:kern w:val="0"/>
          <w:sz w:val="24"/>
          <w:szCs w:val="24"/>
          <w:lang w:eastAsia="en-US" w:bidi="ar-SA"/>
        </w:rPr>
        <w:t>[in caso di soggetto associato ripetere i dati per ogni impresa]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BodyText3"/>
        <w:rPr>
          <w:rFonts w:ascii="Times New Roman" w:hAnsi="Times New Roman" w:cs="Times New Roman"/>
          <w:b w:val="false"/>
          <w:b w:val="false"/>
          <w:color w:val="000000"/>
          <w:sz w:val="24"/>
          <w:szCs w:val="24"/>
        </w:rPr>
      </w:pPr>
      <w:r>
        <w:rPr>
          <w:rFonts w:cs="Times New Roman" w:ascii="Times New Roman" w:hAnsi="Times New Roman"/>
          <w:b w:val="false"/>
          <w:sz w:val="24"/>
          <w:szCs w:val="24"/>
        </w:rPr>
        <w:t xml:space="preserve">In relazione alla </w:t>
      </w:r>
      <w:r>
        <w:rPr>
          <w:rFonts w:eastAsia="Calibri" w:cs="Times New Roman" w:ascii="Times New Roman" w:hAnsi="Times New Roman"/>
          <w:b w:val="false"/>
          <w:iCs/>
          <w:color w:val="000000"/>
          <w:sz w:val="24"/>
          <w:szCs w:val="24"/>
        </w:rPr>
        <w:t xml:space="preserve">procedura </w:t>
      </w:r>
      <w:r>
        <w:rPr>
          <w:rFonts w:cs="Times New Roman" w:ascii="Times New Roman" w:hAnsi="Times New Roman"/>
          <w:b w:val="false"/>
          <w:color w:val="000000"/>
          <w:sz w:val="24"/>
          <w:szCs w:val="24"/>
        </w:rPr>
        <w:t>per l’affidamento del servizio in oggetto, secondo le condizioni e le clausole previste dal capitolato amministrativo-prestazionale, dalla documentazione progettuale, nonché dal disciplinare di gara,</w:t>
      </w:r>
    </w:p>
    <w:p>
      <w:pPr>
        <w:pStyle w:val="BodyText3"/>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BodyText3"/>
        <w:rPr>
          <w:rFonts w:ascii="Times New Roman" w:hAnsi="Times New Roman" w:cs="Times New Roman"/>
          <w:b w:val="false"/>
          <w:b w:val="false"/>
          <w:iCs/>
          <w:sz w:val="24"/>
          <w:szCs w:val="24"/>
        </w:rPr>
      </w:pPr>
      <w:r>
        <w:rPr>
          <w:rFonts w:cs="Times New Roman" w:ascii="Times New Roman" w:hAnsi="Times New Roman"/>
          <w:b w:val="false"/>
          <w:iCs/>
          <w:sz w:val="24"/>
          <w:szCs w:val="24"/>
        </w:rPr>
        <w:t>Sotto la propria responsabilità, ai sensi degli artt. 46 e 47 del DPR n. 445/2000, consapevole delle conseguenze nonchè delle sanzioni penali previste dall'art. 76 del medesimo DPR per le ipotesi di falsità in atti e dichiarazioni mendaci,</w:t>
      </w:r>
    </w:p>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jc w:val="center"/>
        <w:rPr>
          <w:rFonts w:ascii="Times New Roman" w:hAnsi="Times New Roman" w:cs="Times New Roman"/>
          <w:bCs/>
          <w:sz w:val="24"/>
          <w:szCs w:val="24"/>
        </w:rPr>
      </w:pPr>
      <w:r>
        <w:rPr>
          <w:rFonts w:cs="Times New Roman" w:ascii="Times New Roman" w:hAnsi="Times New Roman"/>
          <w:bCs/>
          <w:sz w:val="24"/>
          <w:szCs w:val="24"/>
        </w:rPr>
        <w:t>D I C H I A R A</w:t>
      </w:r>
    </w:p>
    <w:p>
      <w:pPr>
        <w:pStyle w:val="Normal"/>
        <w:jc w:val="center"/>
        <w:rPr>
          <w:rFonts w:ascii="Times New Roman" w:hAnsi="Times New Roman" w:cs="Times New Roman"/>
          <w:bCs/>
          <w:sz w:val="24"/>
          <w:szCs w:val="24"/>
        </w:rPr>
      </w:pPr>
      <w:r>
        <w:rPr>
          <w:rFonts w:cs="Times New Roman" w:ascii="Times New Roman" w:hAnsi="Times New Roman"/>
          <w:i/>
          <w:iCs/>
          <w:sz w:val="18"/>
          <w:szCs w:val="18"/>
        </w:rPr>
        <w:t>[compilare sola la parte di interesse]</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ind w:left="284" w:hanging="284"/>
        <w:rPr>
          <w:rFonts w:ascii="Times New Roman" w:hAnsi="Times New Roman" w:cs="Times New Roman"/>
          <w:bCs/>
          <w:sz w:val="24"/>
          <w:szCs w:val="24"/>
        </w:rPr>
      </w:pPr>
      <w:r>
        <w:rPr>
          <w:rFonts w:eastAsia="Wingdings" w:cs="Wingdings" w:ascii="Wingdings" w:hAnsi="Wingdings"/>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 xml:space="preserve">che l’impresa </w:t>
      </w:r>
      <w:r>
        <w:rPr>
          <w:rFonts w:cs="Times New Roman" w:ascii="Times New Roman" w:hAnsi="Times New Roman"/>
          <w:bCs/>
          <w:sz w:val="24"/>
          <w:szCs w:val="24"/>
        </w:rPr>
        <w:t xml:space="preserve">non incorre nelle ipotesi di esclusione di cui all’art. 80 del Codice, come modificato dal d.lgs. 19 aprile 2017, n. 56, dal d.l. 14 dicembre 2018, n. 135, dal d.lgs. 12 gennaio 2019, n. 14, dal d.lgs. 18 aprile 2019, n. 32, dal d.lgs. 8 aprile 2020, n. 23,  dal d.l. 16 luglio 2020, n. 76, dal d.l. 31 dicembre 2020, n. 183 e s.m.i., se non già dichiarate nel DGUE.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olor w:val="000000"/>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color w:val="000000"/>
          <w:sz w:val="24"/>
          <w:szCs w:val="24"/>
        </w:rPr>
        <w:t xml:space="preserve">che l’offerta economica presentata è remunerativa e, in particolare, che tiene conto: </w:t>
      </w:r>
    </w:p>
    <w:p>
      <w:pPr>
        <w:pStyle w:val="Normal"/>
        <w:rPr>
          <w:rFonts w:ascii="Times New Roman" w:hAnsi="Times New Roman"/>
          <w:color w:val="000000"/>
          <w:sz w:val="24"/>
          <w:szCs w:val="24"/>
        </w:rPr>
      </w:pPr>
      <w:r>
        <w:rPr>
          <w:rFonts w:ascii="Times New Roman" w:hAnsi="Times New Roman"/>
          <w:color w:val="000000"/>
          <w:sz w:val="24"/>
          <w:szCs w:val="24"/>
        </w:rPr>
      </w:r>
    </w:p>
    <w:p>
      <w:pPr>
        <w:pStyle w:val="ListParagraph"/>
        <w:numPr>
          <w:ilvl w:val="0"/>
          <w:numId w:val="1"/>
        </w:numPr>
        <w:rPr>
          <w:rFonts w:ascii="Times New Roman" w:hAnsi="Times New Roman"/>
          <w:color w:val="000000"/>
          <w:szCs w:val="24"/>
        </w:rPr>
      </w:pPr>
      <w:r>
        <w:rPr>
          <w:rFonts w:ascii="Times New Roman" w:hAnsi="Times New Roman"/>
          <w:color w:val="000000"/>
          <w:szCs w:val="24"/>
        </w:rPr>
        <w:t>delle condizioni contrattuali e degli oneri compresi quelli eventuali in materia di sicurezza, di assicurazione, di condizioni di lavoro e di previdenza e assistenza in vigore nel luogo dove devono essere svolti i servizi/forniture;</w:t>
      </w:r>
    </w:p>
    <w:p>
      <w:pPr>
        <w:pStyle w:val="ListParagraph"/>
        <w:numPr>
          <w:ilvl w:val="0"/>
          <w:numId w:val="1"/>
        </w:numPr>
        <w:rPr>
          <w:rFonts w:ascii="Times New Roman" w:hAnsi="Times New Roman"/>
          <w:color w:val="000000"/>
          <w:szCs w:val="24"/>
        </w:rPr>
      </w:pPr>
      <w:r>
        <w:rPr>
          <w:rFonts w:ascii="Times New Roman" w:hAnsi="Times New Roman"/>
          <w:color w:val="000000"/>
          <w:szCs w:val="24"/>
        </w:rPr>
        <w:t>di tutte le circostanze generali, particolari e locali, nessuna esclusa ed eccettuata, che possono avere influito o influire sia sulla prestazione dei servizi/forniture, sia sulla determinazione della propria offerta.</w:t>
      </w:r>
    </w:p>
    <w:p>
      <w:pPr>
        <w:pStyle w:val="ListParagraph"/>
        <w:ind w:left="0" w:hanging="0"/>
        <w:jc w:val="center"/>
        <w:rPr>
          <w:rFonts w:ascii="Times New Roman" w:hAnsi="Times New Roman" w:eastAsia="Calibri" w:eastAsiaTheme="minorHAnsi"/>
          <w:color w:val="000000"/>
          <w:szCs w:val="24"/>
        </w:rPr>
      </w:pPr>
      <w:r>
        <w:rPr>
          <w:rFonts w:eastAsia="Calibri" w:ascii="Times New Roman" w:hAnsi="Times New Roman" w:eastAsiaTheme="minorHAnsi"/>
          <w:color w:val="000000"/>
          <w:szCs w:val="24"/>
        </w:rPr>
        <w:t>^^^^^^</w:t>
      </w:r>
    </w:p>
    <w:p>
      <w:pPr>
        <w:pStyle w:val="ListParagraph"/>
        <w:ind w:left="0" w:hanging="0"/>
        <w:rPr>
          <w:rFonts w:ascii="Times New Roman" w:hAnsi="Times New Roman" w:eastAsia="Calibri" w:eastAsiaTheme="minorHAnsi"/>
          <w:color w:val="000000"/>
          <w:szCs w:val="24"/>
          <w:u w:val="single"/>
        </w:rPr>
      </w:pPr>
      <w:r>
        <w:rPr>
          <w:rFonts w:eastAsia="Wingdings" w:cs="Wingdings" w:ascii="Wingdings" w:hAnsi="Wingdings"/>
          <w:szCs w:val="24"/>
        </w:rPr>
        <w:t></w:t>
      </w:r>
      <w:r>
        <w:rPr>
          <w:rFonts w:ascii="Times New Roman" w:hAnsi="Times New Roman"/>
          <w:szCs w:val="24"/>
        </w:rPr>
        <w:t xml:space="preserve">  </w:t>
      </w:r>
      <w:r>
        <w:rPr>
          <w:rFonts w:eastAsia="Calibri" w:ascii="Times New Roman" w:hAnsi="Times New Roman" w:eastAsiaTheme="minorHAnsi"/>
          <w:b/>
          <w:bCs/>
          <w:i/>
          <w:iCs/>
          <w:color w:val="000000"/>
          <w:szCs w:val="24"/>
        </w:rPr>
        <w:t>Solo</w:t>
      </w:r>
      <w:r>
        <w:rPr>
          <w:rFonts w:eastAsia="Calibri" w:ascii="Times New Roman" w:hAnsi="Times New Roman" w:eastAsiaTheme="minorHAnsi"/>
          <w:b/>
          <w:bCs/>
          <w:color w:val="000000"/>
          <w:szCs w:val="24"/>
        </w:rPr>
        <w:t xml:space="preserve"> </w:t>
      </w:r>
      <w:r>
        <w:rPr>
          <w:rFonts w:eastAsia="Calibri" w:ascii="Times New Roman" w:hAnsi="Times New Roman" w:eastAsiaTheme="minorHAnsi"/>
          <w:b/>
          <w:bCs/>
          <w:i/>
          <w:iCs/>
          <w:color w:val="000000"/>
          <w:szCs w:val="24"/>
        </w:rPr>
        <w:t xml:space="preserve">per i raggruppamenti temporanei, consorzi ordinari o GEIE </w:t>
      </w:r>
      <w:r>
        <w:rPr>
          <w:rFonts w:eastAsia="Calibri" w:ascii="Times New Roman" w:hAnsi="Times New Roman" w:eastAsiaTheme="minorHAnsi"/>
          <w:b/>
          <w:bCs/>
          <w:i/>
          <w:iCs/>
          <w:color w:val="000000"/>
          <w:szCs w:val="24"/>
          <w:u w:val="single"/>
        </w:rPr>
        <w:t>già costituiti</w:t>
      </w:r>
      <w:r>
        <w:rPr>
          <w:rFonts w:eastAsia="Calibri" w:ascii="Times New Roman" w:hAnsi="Times New Roman" w:eastAsiaTheme="minorHAnsi"/>
          <w:b/>
          <w:bCs/>
          <w:color w:val="000000"/>
          <w:szCs w:val="24"/>
          <w:u w:val="single"/>
        </w:rPr>
        <w:t>:</w:t>
      </w:r>
    </w:p>
    <w:p>
      <w:pPr>
        <w:pStyle w:val="ListParagraph"/>
        <w:ind w:left="284" w:hanging="0"/>
        <w:rPr>
          <w:rFonts w:ascii="Times New Roman" w:hAnsi="Times New Roman" w:eastAsia="Calibri" w:eastAsiaTheme="minorHAnsi"/>
          <w:color w:val="000000"/>
          <w:szCs w:val="24"/>
        </w:rPr>
      </w:pPr>
      <w:r>
        <w:rPr>
          <w:rFonts w:eastAsia="Calibri" w:ascii="Times New Roman" w:hAnsi="Times New Roman" w:eastAsiaTheme="minorHAnsi"/>
          <w:color w:val="000000"/>
          <w:szCs w:val="24"/>
        </w:rPr>
        <w:t xml:space="preserve">che, ai sensi dell’art. 48, comma 4 del Codice, le parti del servizio che saranno eseguite dai singoli operatori economici riuniti o consorziati e i relativi requisiti </w:t>
      </w:r>
      <w:bookmarkStart w:id="0" w:name="_Hlk72427663"/>
      <w:r>
        <w:rPr>
          <w:rFonts w:eastAsia="Calibri" w:ascii="Times New Roman" w:hAnsi="Times New Roman" w:eastAsiaTheme="minorHAnsi"/>
          <w:color w:val="000000"/>
          <w:szCs w:val="24"/>
        </w:rPr>
        <w:t xml:space="preserve">di capacità tecnico - organizzativa </w:t>
      </w:r>
      <w:bookmarkEnd w:id="0"/>
      <w:r>
        <w:rPr>
          <w:rFonts w:eastAsia="Calibri" w:ascii="Times New Roman" w:hAnsi="Times New Roman" w:eastAsiaTheme="minorHAnsi"/>
          <w:color w:val="000000"/>
          <w:szCs w:val="24"/>
        </w:rPr>
        <w:t>posseduti sono i seguenti:</w:t>
      </w:r>
    </w:p>
    <w:p>
      <w:pPr>
        <w:pStyle w:val="ListParagraph"/>
        <w:rPr>
          <w:rFonts w:ascii="Times New Roman" w:hAnsi="Times New Roman" w:eastAsia="Calibri" w:eastAsiaTheme="minorHAnsi"/>
          <w:color w:val="000000"/>
          <w:szCs w:val="24"/>
        </w:rPr>
      </w:pPr>
      <w:r>
        <w:rPr>
          <w:rFonts w:eastAsia="Calibri" w:eastAsiaTheme="minorHAnsi" w:ascii="Times New Roman" w:hAnsi="Times New Roman"/>
          <w:color w:val="000000"/>
          <w:szCs w:val="24"/>
        </w:rPr>
      </w:r>
    </w:p>
    <w:tbl>
      <w:tblPr>
        <w:tblW w:w="977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62"/>
        <w:gridCol w:w="2626"/>
        <w:gridCol w:w="2445"/>
        <w:gridCol w:w="2444"/>
      </w:tblGrid>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Soggetto</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Ruolo nel RTI/consorzio ordinario/GEIE:</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Prestazioni da eseguire:</w:t>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Requisiti di partecipazione riferiti alle prestazioni da eseguire</w:t>
            </w:r>
            <w:r>
              <w:rPr>
                <w:rFonts w:eastAsia="Garamond" w:cs="Times New Roman" w:ascii="Times New Roman" w:hAnsi="Times New Roman"/>
                <w:vertAlign w:val="superscript"/>
              </w:rPr>
              <w:t>1:</w:t>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1.</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2.</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Calibri" w:cs="Times New Roman"/>
                <w:lang w:eastAsia="it-IT"/>
              </w:rPr>
            </w:pPr>
            <w:r>
              <w:rPr>
                <w:rFonts w:eastAsia="Calibri" w:cs="Times New Roman" w:ascii="Times New Roman" w:hAnsi="Times New Roman"/>
                <w:lang w:eastAsia="it-IT"/>
              </w:rPr>
              <w:t>&lt;…..&gt;</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Calibri" w:cs="Times New Roman"/>
                <w:lang w:eastAsia="it-IT"/>
              </w:rPr>
            </w:pPr>
            <w:r>
              <w:rPr>
                <w:rFonts w:eastAsia="Calibri" w:cs="Times New Roman" w:ascii="Times New Roman" w:hAnsi="Times New Roman"/>
                <w:lang w:eastAsia="it-IT"/>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right"/>
              <w:rPr>
                <w:rFonts w:ascii="Times New Roman" w:hAnsi="Times New Roman" w:eastAsia="Calibri" w:cs="Times New Roman"/>
                <w:lang w:eastAsia="it-IT"/>
              </w:rPr>
            </w:pPr>
            <w:r>
              <w:rPr>
                <w:rFonts w:eastAsia="Calibri" w:cs="Times New Roman" w:ascii="Times New Roman" w:hAnsi="Times New Roman"/>
                <w:lang w:eastAsia="it-IT"/>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jc w:val="right"/>
              <w:rPr>
                <w:rFonts w:ascii="Times New Roman" w:hAnsi="Times New Roman" w:eastAsia="Calibri" w:cs="Times New Roman"/>
                <w:lang w:eastAsia="it-IT"/>
              </w:rPr>
            </w:pPr>
            <w:r>
              <w:rPr>
                <w:rFonts w:eastAsia="Calibri" w:cs="Times New Roman" w:ascii="Times New Roman" w:hAnsi="Times New Roman"/>
                <w:lang w:eastAsia="it-IT"/>
              </w:rPr>
            </w:r>
          </w:p>
        </w:tc>
      </w:tr>
    </w:tbl>
    <w:p>
      <w:pPr>
        <w:pStyle w:val="ListParagraph"/>
        <w:ind w:left="0" w:hanging="0"/>
        <w:rPr>
          <w:rFonts w:ascii="Times New Roman" w:hAnsi="Times New Roman" w:eastAsia="Calibri" w:eastAsiaTheme="minorHAnsi"/>
          <w:color w:val="000000"/>
          <w:szCs w:val="24"/>
        </w:rPr>
      </w:pPr>
      <w:r>
        <w:rPr>
          <w:rFonts w:eastAsia="Calibri" w:eastAsiaTheme="minorHAnsi" w:ascii="Times New Roman" w:hAnsi="Times New Roman"/>
          <w:color w:val="000000"/>
          <w:szCs w:val="24"/>
        </w:rPr>
      </w:r>
    </w:p>
    <w:p>
      <w:pPr>
        <w:pStyle w:val="ListParagraph"/>
        <w:ind w:left="0" w:hanging="0"/>
        <w:jc w:val="center"/>
        <w:rPr>
          <w:rFonts w:ascii="Times New Roman" w:hAnsi="Times New Roman"/>
          <w:bCs/>
          <w:iCs/>
          <w:color w:val="000000"/>
          <w:szCs w:val="24"/>
        </w:rPr>
      </w:pPr>
      <w:r>
        <w:rPr>
          <w:rFonts w:eastAsia="Garamond" w:ascii="Times New Roman" w:hAnsi="Times New Roman"/>
          <w:sz w:val="22"/>
          <w:vertAlign w:val="superscript"/>
          <w:lang w:eastAsia="en-US"/>
        </w:rPr>
        <w:t>1</w:t>
      </w:r>
      <w:r>
        <w:rPr>
          <w:rFonts w:eastAsia="Garamond" w:ascii="Times New Roman" w:hAnsi="Times New Roman"/>
          <w:sz w:val="22"/>
          <w:lang w:eastAsia="en-US"/>
        </w:rPr>
        <w:t xml:space="preserve"> </w:t>
      </w:r>
      <w:r>
        <w:rPr>
          <w:rFonts w:eastAsia="Garamond" w:ascii="Times New Roman" w:hAnsi="Times New Roman"/>
          <w:b/>
          <w:bCs/>
          <w:i/>
          <w:iCs/>
          <w:sz w:val="22"/>
          <w:lang w:eastAsia="en-US"/>
        </w:rPr>
        <w:t>Come nel dettaglio indicato all’art. 9.2 del Disciplinare</w:t>
      </w:r>
    </w:p>
    <w:p>
      <w:pPr>
        <w:pStyle w:val="ListParagraph"/>
        <w:ind w:left="0" w:hanging="0"/>
        <w:jc w:val="center"/>
        <w:rPr>
          <w:rFonts w:ascii="Times New Roman" w:hAnsi="Times New Roman"/>
          <w:bCs/>
          <w:iCs/>
          <w:color w:val="000000"/>
          <w:szCs w:val="24"/>
        </w:rPr>
      </w:pPr>
      <w:r>
        <w:rPr>
          <w:rFonts w:ascii="Times New Roman" w:hAnsi="Times New Roman"/>
          <w:bCs/>
          <w:iCs/>
          <w:color w:val="000000"/>
          <w:szCs w:val="24"/>
        </w:rPr>
      </w:r>
    </w:p>
    <w:p>
      <w:pPr>
        <w:pStyle w:val="ListParagraph"/>
        <w:ind w:left="0" w:hanging="0"/>
        <w:jc w:val="center"/>
        <w:rPr>
          <w:rFonts w:ascii="Times New Roman" w:hAnsi="Times New Roman" w:eastAsia="Calibri" w:eastAsiaTheme="minorHAnsi"/>
          <w:color w:val="000000"/>
          <w:szCs w:val="24"/>
        </w:rPr>
      </w:pPr>
      <w:r>
        <w:rPr>
          <w:rFonts w:ascii="Times New Roman" w:hAnsi="Times New Roman"/>
          <w:bCs/>
          <w:iCs/>
          <w:color w:val="000000"/>
          <w:szCs w:val="24"/>
        </w:rPr>
        <w:t>^^^^^^</w:t>
      </w:r>
    </w:p>
    <w:p>
      <w:pPr>
        <w:pStyle w:val="Normal"/>
        <w:spacing w:lineRule="auto" w:line="276" w:before="60" w:after="60"/>
        <w:rPr>
          <w:rFonts w:ascii="Times New Roman" w:hAnsi="Times New Roman" w:eastAsia="Calibri" w:cs="Times New Roman"/>
          <w:lang w:eastAsia="it-IT"/>
        </w:rPr>
      </w:pPr>
      <w:r>
        <w:rPr>
          <w:rFonts w:eastAsia="Wingdings" w:cs="Wingdings" w:ascii="Wingdings" w:hAnsi="Wingdings"/>
          <w:sz w:val="24"/>
          <w:szCs w:val="24"/>
        </w:rPr>
        <w:t></w:t>
      </w:r>
      <w:r>
        <w:rPr>
          <w:rFonts w:ascii="Times New Roman" w:hAnsi="Times New Roman"/>
          <w:sz w:val="24"/>
          <w:szCs w:val="24"/>
        </w:rPr>
        <w:t xml:space="preserve">  </w:t>
      </w:r>
      <w:r>
        <w:rPr>
          <w:rFonts w:eastAsia="Garamond" w:ascii="Times New Roman" w:hAnsi="Times New Roman"/>
          <w:b/>
          <w:lang w:eastAsia="zh-CN"/>
        </w:rPr>
        <w:t xml:space="preserve"> </w:t>
      </w:r>
      <w:r>
        <w:rPr>
          <w:rFonts w:ascii="Times New Roman" w:hAnsi="Times New Roman"/>
          <w:b/>
          <w:bCs/>
          <w:i/>
          <w:iCs/>
          <w:color w:val="000000"/>
          <w:sz w:val="24"/>
          <w:szCs w:val="24"/>
        </w:rPr>
        <w:t>Solo per i raggruppamenti temporanei o consorzi ordinari o GEIE</w:t>
      </w:r>
      <w:r>
        <w:rPr>
          <w:rFonts w:ascii="Times New Roman" w:hAnsi="Times New Roman"/>
          <w:b/>
          <w:bCs/>
          <w:i/>
          <w:iCs/>
          <w:color w:val="000000"/>
          <w:sz w:val="24"/>
          <w:szCs w:val="24"/>
          <w:u w:val="single"/>
        </w:rPr>
        <w:t xml:space="preserve"> non ancora costituiti</w:t>
      </w:r>
      <w:r>
        <w:rPr>
          <w:rFonts w:eastAsia="Calibri" w:cs="Times New Roman" w:ascii="Times New Roman" w:hAnsi="Times New Roman"/>
          <w:lang w:eastAsia="it-IT"/>
        </w:rPr>
        <w:t xml:space="preserve"> </w:t>
      </w:r>
    </w:p>
    <w:p>
      <w:pPr>
        <w:pStyle w:val="ListParagraph"/>
        <w:numPr>
          <w:ilvl w:val="0"/>
          <w:numId w:val="3"/>
        </w:numPr>
        <w:spacing w:before="60" w:after="60"/>
        <w:rPr>
          <w:rFonts w:ascii="Times New Roman" w:hAnsi="Times New Roman"/>
        </w:rPr>
      </w:pPr>
      <w:r>
        <w:rPr>
          <w:rFonts w:eastAsia="Times New Roman" w:ascii="Times New Roman" w:hAnsi="Times New Roman"/>
        </w:rPr>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w:t>
      </w:r>
      <w:r>
        <w:rPr>
          <w:rFonts w:ascii="Times New Roman" w:hAnsi="Times New Roman"/>
        </w:rPr>
        <w:t>/consorziate</w:t>
      </w:r>
      <w:r>
        <w:rPr>
          <w:rFonts w:eastAsia="Times New Roman" w:ascii="Times New Roman" w:hAnsi="Times New Roman"/>
        </w:rPr>
        <w:t>;</w:t>
      </w:r>
    </w:p>
    <w:p>
      <w:pPr>
        <w:pStyle w:val="ListParagraph"/>
        <w:numPr>
          <w:ilvl w:val="0"/>
          <w:numId w:val="3"/>
        </w:numPr>
        <w:rPr>
          <w:rFonts w:ascii="Times New Roman" w:hAnsi="Times New Roman" w:eastAsia="Calibri" w:eastAsiaTheme="minorHAnsi"/>
          <w:color w:val="000000"/>
          <w:szCs w:val="24"/>
        </w:rPr>
      </w:pPr>
      <w:r>
        <w:rPr>
          <w:rFonts w:eastAsia="Calibri" w:ascii="Times New Roman" w:hAnsi="Times New Roman" w:eastAsiaTheme="minorHAnsi"/>
          <w:color w:val="000000"/>
          <w:szCs w:val="24"/>
        </w:rPr>
        <w:t>che l’operatore economico al quale, in caso di aggiudicazione, sarà conferito mandato speciale con rappresentanza o funzioni di capogruppo è:</w:t>
      </w:r>
    </w:p>
    <w:p>
      <w:pPr>
        <w:pStyle w:val="ListParagraph"/>
        <w:numPr>
          <w:ilvl w:val="1"/>
          <w:numId w:val="3"/>
        </w:numPr>
        <w:rPr>
          <w:rFonts w:ascii="Times New Roman" w:hAnsi="Times New Roman"/>
          <w:color w:val="000000"/>
          <w:szCs w:val="24"/>
        </w:rPr>
      </w:pPr>
      <w:r>
        <w:rPr>
          <w:rFonts w:ascii="Times New Roman" w:hAnsi="Times New Roman"/>
          <w:color w:val="000000"/>
        </w:rPr>
        <w:t xml:space="preserve">&lt;       &gt; </w:t>
      </w:r>
    </w:p>
    <w:p>
      <w:pPr>
        <w:pStyle w:val="ListParagraph"/>
        <w:numPr>
          <w:ilvl w:val="0"/>
          <w:numId w:val="3"/>
        </w:numPr>
        <w:spacing w:before="0" w:after="149"/>
        <w:rPr>
          <w:rFonts w:ascii="Times New Roman" w:hAnsi="Times New Roman"/>
          <w:color w:val="000000"/>
        </w:rPr>
      </w:pPr>
      <w:r>
        <w:rPr>
          <w:rFonts w:ascii="Times New Roman" w:hAnsi="Times New Roman"/>
          <w:color w:val="000000"/>
        </w:rPr>
        <w:t xml:space="preserve">che le imprese mandanti sono: </w:t>
      </w:r>
    </w:p>
    <w:p>
      <w:pPr>
        <w:pStyle w:val="ListParagraph"/>
        <w:spacing w:before="60" w:after="60"/>
        <w:rPr>
          <w:rFonts w:ascii="Times New Roman" w:hAnsi="Times New Roman"/>
          <w:color w:val="000000"/>
        </w:rPr>
      </w:pPr>
      <w:r>
        <w:rPr>
          <w:rFonts w:ascii="Times New Roman" w:hAnsi="Times New Roman"/>
          <w:color w:val="000000"/>
        </w:rPr>
        <w:t>&lt;        &gt;</w:t>
      </w:r>
    </w:p>
    <w:p>
      <w:pPr>
        <w:pStyle w:val="ListParagraph"/>
        <w:spacing w:before="60" w:after="60"/>
        <w:rPr>
          <w:rFonts w:ascii="Times New Roman" w:hAnsi="Times New Roman"/>
        </w:rPr>
      </w:pPr>
      <w:r>
        <w:rPr>
          <w:rFonts w:ascii="Times New Roman" w:hAnsi="Times New Roman"/>
          <w:color w:val="000000"/>
        </w:rPr>
        <w:t>&lt;        &gt;</w:t>
      </w:r>
    </w:p>
    <w:p>
      <w:pPr>
        <w:pStyle w:val="ListParagraph"/>
        <w:numPr>
          <w:ilvl w:val="0"/>
          <w:numId w:val="3"/>
        </w:numPr>
        <w:spacing w:before="60" w:after="60"/>
        <w:rPr>
          <w:rFonts w:ascii="Times New Roman" w:hAnsi="Times New Roman"/>
          <w:bCs/>
          <w:iCs/>
          <w:color w:val="000000"/>
          <w:szCs w:val="24"/>
        </w:rPr>
      </w:pPr>
      <w:r>
        <w:rPr>
          <w:rFonts w:eastAsia="Calibri" w:ascii="Times New Roman" w:hAnsi="Times New Roman" w:eastAsiaTheme="minorHAnsi"/>
          <w:color w:val="000000"/>
          <w:szCs w:val="24"/>
        </w:rPr>
        <w:t>che, ai sensi dell’art. 48, comma 4 del Codice, le parti del servizio che saranno eseguite dai singoli operatori economici riuniti o consorziati e i relativi requisiti di capacità tecnico- organizzativa posseduti sono i seguenti:</w:t>
      </w:r>
    </w:p>
    <w:p>
      <w:pPr>
        <w:pStyle w:val="ListParagraph"/>
        <w:rPr>
          <w:rFonts w:ascii="Times New Roman" w:hAnsi="Times New Roman" w:eastAsia="Calibri" w:eastAsiaTheme="minorHAnsi"/>
          <w:color w:val="000000"/>
          <w:szCs w:val="24"/>
        </w:rPr>
      </w:pPr>
      <w:r>
        <w:rPr>
          <w:rFonts w:eastAsia="Calibri" w:eastAsiaTheme="minorHAnsi" w:ascii="Times New Roman" w:hAnsi="Times New Roman"/>
          <w:color w:val="000000"/>
          <w:szCs w:val="24"/>
        </w:rPr>
      </w:r>
    </w:p>
    <w:tbl>
      <w:tblPr>
        <w:tblW w:w="977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444"/>
        <w:gridCol w:w="2444"/>
        <w:gridCol w:w="2445"/>
        <w:gridCol w:w="2444"/>
      </w:tblGrid>
      <w:tr>
        <w:trPr/>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Soggetto</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Ruolo nel RTI/consorzio ordinario/GEIE:</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Prestazioni da  eseguire:</w:t>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Requisiti di partecipazione riferiti alle prestazioni da eseguire</w:t>
            </w:r>
            <w:r>
              <w:rPr>
                <w:rFonts w:eastAsia="Garamond" w:cs="Times New Roman" w:ascii="Times New Roman" w:hAnsi="Times New Roman"/>
                <w:vertAlign w:val="superscript"/>
              </w:rPr>
              <w:t>1</w:t>
            </w:r>
          </w:p>
        </w:tc>
      </w:tr>
      <w:tr>
        <w:trPr/>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1.</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r>
      <w:tr>
        <w:trPr/>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t>2.</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rPr>
                <w:rFonts w:ascii="Times New Roman" w:hAnsi="Times New Roman" w:eastAsia="Garamond" w:cs="Times New Roman"/>
              </w:rPr>
            </w:pPr>
            <w:r>
              <w:rPr>
                <w:rFonts w:eastAsia="Garamond" w:cs="Times New Roman" w:ascii="Times New Roman" w:hAnsi="Times New Roman"/>
              </w:rPr>
            </w:r>
          </w:p>
        </w:tc>
      </w:tr>
      <w:tr>
        <w:trPr/>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Calibri" w:cs="Times New Roman"/>
                <w:lang w:eastAsia="it-IT"/>
              </w:rPr>
            </w:pPr>
            <w:r>
              <w:rPr>
                <w:rFonts w:eastAsia="Calibri" w:cs="Times New Roman" w:ascii="Times New Roman" w:hAnsi="Times New Roman"/>
                <w:lang w:eastAsia="it-IT"/>
              </w:rPr>
              <w:t>&lt;…..&gt;</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rPr>
                <w:rFonts w:ascii="Times New Roman" w:hAnsi="Times New Roman" w:eastAsia="Calibri" w:cs="Times New Roman"/>
                <w:lang w:eastAsia="it-IT"/>
              </w:rPr>
            </w:pPr>
            <w:r>
              <w:rPr>
                <w:rFonts w:eastAsia="Calibri" w:cs="Times New Roman" w:ascii="Times New Roman" w:hAnsi="Times New Roman"/>
                <w:lang w:eastAsia="it-IT"/>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right"/>
              <w:rPr>
                <w:rFonts w:ascii="Times New Roman" w:hAnsi="Times New Roman" w:eastAsia="Calibri" w:cs="Times New Roman"/>
                <w:lang w:eastAsia="it-IT"/>
              </w:rPr>
            </w:pPr>
            <w:r>
              <w:rPr>
                <w:rFonts w:eastAsia="Calibri" w:cs="Times New Roman" w:ascii="Times New Roman" w:hAnsi="Times New Roman"/>
                <w:lang w:eastAsia="it-IT"/>
              </w:rPr>
            </w:r>
          </w:p>
        </w:tc>
        <w:tc>
          <w:tcPr>
            <w:tcW w:w="244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lineRule="auto" w:line="276" w:before="60" w:after="60"/>
              <w:jc w:val="right"/>
              <w:rPr>
                <w:rFonts w:ascii="Times New Roman" w:hAnsi="Times New Roman" w:eastAsia="Calibri" w:cs="Times New Roman"/>
                <w:lang w:eastAsia="it-IT"/>
              </w:rPr>
            </w:pPr>
            <w:r>
              <w:rPr>
                <w:rFonts w:eastAsia="Calibri" w:cs="Times New Roman" w:ascii="Times New Roman" w:hAnsi="Times New Roman"/>
                <w:lang w:eastAsia="it-IT"/>
              </w:rPr>
            </w:r>
          </w:p>
        </w:tc>
      </w:tr>
    </w:tbl>
    <w:p>
      <w:pPr>
        <w:pStyle w:val="ListParagraph"/>
        <w:numPr>
          <w:ilvl w:val="0"/>
          <w:numId w:val="5"/>
        </w:numPr>
        <w:tabs>
          <w:tab w:val="clear" w:pos="708"/>
          <w:tab w:val="left" w:pos="1134" w:leader="none"/>
        </w:tabs>
        <w:ind w:left="851" w:firstLine="142"/>
        <w:rPr>
          <w:rFonts w:ascii="Times New Roman" w:hAnsi="Times New Roman"/>
          <w:bCs/>
          <w:i/>
          <w:i/>
          <w:iCs/>
          <w:color w:val="000000"/>
          <w:szCs w:val="24"/>
        </w:rPr>
      </w:pPr>
      <w:r>
        <w:rPr>
          <w:rFonts w:eastAsia="Garamond" w:ascii="Times New Roman" w:hAnsi="Times New Roman"/>
          <w:b/>
          <w:bCs/>
          <w:i/>
          <w:iCs/>
          <w:sz w:val="22"/>
          <w:lang w:eastAsia="en-US"/>
        </w:rPr>
        <w:t>Come nel dettaglio indicato all’art. 9.2 del Disciplinare</w:t>
      </w:r>
    </w:p>
    <w:p>
      <w:pPr>
        <w:pStyle w:val="ListParagraph"/>
        <w:ind w:left="284" w:right="191" w:hanging="426"/>
        <w:rPr>
          <w:rFonts w:ascii="Times New Roman" w:hAnsi="Times New Roman" w:eastAsia="Garamond"/>
          <w:i/>
          <w:i/>
          <w:iCs/>
          <w:sz w:val="22"/>
          <w:lang w:eastAsia="en-US"/>
        </w:rPr>
      </w:pPr>
      <w:r>
        <w:rPr>
          <w:rFonts w:eastAsia="Garamond" w:ascii="Times New Roman" w:hAnsi="Times New Roman"/>
          <w:i/>
          <w:iCs/>
          <w:sz w:val="22"/>
          <w:lang w:eastAsia="en-US"/>
        </w:rPr>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di accettare, senza condizione o riserva alcuna, tutte le norme e disposizioni contenute nella documentazione progettuale e di gara;</w:t>
      </w:r>
      <w:bookmarkStart w:id="1" w:name="_Hlk67850567"/>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di non partecipare alla medesima gara in altra forma singola o associata, né come ausiliaria per altro concorrente;</w:t>
      </w:r>
      <w:bookmarkEnd w:id="1"/>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 xml:space="preserve">di accettare il Patto di integrità/Protocollo di legalità allegato alla documentazione di gara e sottoscritto digitalmente, </w:t>
      </w:r>
      <w:bookmarkStart w:id="2" w:name="_Hlk67902325"/>
      <w:r>
        <w:rPr>
          <w:rFonts w:ascii="Times New Roman" w:hAnsi="Times New Roman"/>
          <w:color w:val="000000"/>
          <w:szCs w:val="24"/>
        </w:rPr>
        <w:t>da rispettare durante l’esecuzione del contratto, pena la risoluzione dello stesso</w:t>
      </w:r>
      <w:bookmarkEnd w:id="2"/>
      <w:r>
        <w:rPr>
          <w:rFonts w:ascii="Times New Roman" w:hAnsi="Times New Roman"/>
          <w:color w:val="000000"/>
          <w:szCs w:val="24"/>
        </w:rPr>
        <w:t>, ai sensi dell’art. 2.15 del capitolato amministrativo -prestazionale;</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consapevole delle sanzioni e delle conseguenze previste, rispettivamente, all’art. 2.8, comma 3, lett. b) e all’art. 2.12. lett d) del capitolato amministrativo-prestazionale, di impegnarsi a presentare, ai  fini della clausola sociale di cui all’art. 50 del D.Lgs n. 50, il piano di riassorbimento di cui all’art. 2.10 del capitolato amministrativo - prestazionale nei termini di cui all’art. 3.3. del capitolato stesso, con l’indicazione del</w:t>
      </w:r>
      <w:r>
        <w:rPr/>
        <w:t xml:space="preserve"> </w:t>
      </w:r>
      <w:r>
        <w:rPr>
          <w:rFonts w:ascii="Times New Roman" w:hAnsi="Times New Roman"/>
          <w:color w:val="000000"/>
          <w:szCs w:val="24"/>
        </w:rPr>
        <w:t xml:space="preserve">numero dei lavoratori che ne beneficeranno e del relativo inquadramento e trattamento economico, facendo riferimento al personale indicato nell’apposita tabella della relazione tecnico – illustrativa  </w:t>
      </w:r>
      <w:r>
        <w:rPr>
          <w:rFonts w:ascii="Times New Roman" w:hAnsi="Times New Roman"/>
        </w:rPr>
        <w:t>“dettaglio del personale attualmente operante nel servizio”</w:t>
      </w:r>
      <w:r>
        <w:rPr>
          <w:rFonts w:ascii="Times New Roman" w:hAnsi="Times New Roman"/>
          <w:color w:val="000000"/>
          <w:szCs w:val="24"/>
        </w:rPr>
        <w:t xml:space="preserve"> e armonizzando il piano stesso con il proprio assetto organizzativo e imprenditoriale; </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di essere edotto degli obblighi derivanti dal Codice di comportamento adottato dalla stazione appaltante con deliberazione n. 1 del 10 gennaio 2014, pubblicato dal Comune di Lavagna nella Sezione Amministrazione trasparente e di impegnarsi, in caso di aggiudicazione, ad osservare e a far osservare ai propri dipendenti e collaboratori, per quanto applicabile, il suddetto codice, pena la risoluzione del contratto ai sensi dell’art. 2.15 del capitolato amministrativo -prestazionale;</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color w:val="000000"/>
          <w:szCs w:val="24"/>
        </w:rPr>
        <w:t>di assumere e di rispettare, in caso di aggiudicazione, gli obblighi derivanti dall’art. 3 della Legge 13 agosto 2010, n. 136 e s.m.i. (tracciabilità dei flussi finanziari), e di essere a conoscenza che la violazione dell’obbligo di cui all’art. 3, comma 9-bis della citata legge costituisce causa di risoluzione del contratto e che tutte le relative transazioni finanziarie relative al presente affidamento dovranno riportare i relativi estremi dei corrispondenti codici CUP e  CIG, nonché di comunicare alla stazione appaltante gli estremi identificativi dei conti correnti entro 7 giorni dalla loro accensione, nonché, nello stesso termine, le generalità e il codice fiscale delle persone delegate ad operare su di essi;</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szCs w:val="24"/>
        </w:rPr>
        <w:t xml:space="preserve">che il concorrente attesta di essere informato, ai sensi e per gli effetti del Reg.to UE 679/2016 e del D.Lgs. n. 196/2003 e s.m.i., che i dati personali raccolti saranno trattati, anche con strumenti informatici, esclusivamente nell’ambito della presente gara e che </w:t>
      </w:r>
      <w:r>
        <w:rPr>
          <w:rFonts w:ascii="Times New Roman" w:hAnsi="Times New Roman"/>
          <w:color w:val="000000"/>
          <w:szCs w:val="24"/>
        </w:rPr>
        <w:t xml:space="preserve">il trattamento dei dati personali sarà improntato a liceità e correttezza e ha la finalità di consentire l’accertamento dell’idoneità dei concorrenti a partecipare alla presente procedura di affidamento; </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szCs w:val="24"/>
        </w:rPr>
        <w:t>di autorizzare l’accesso ai documenti di gara da parte degli altri concorrenti, alle condizioni e nei termini previsti dell’art. 53 del D.Lgs n. 50/2016, □ con la sola esclusione delle seguenti informazioni fornite nell’ambito dell’offerta tecnica o a giustificazione della medesima, che dichiara  costituiscano segreti tecnico – commerciali, in quanto &lt;    &gt; :  &lt;     &gt;  □ (</w:t>
      </w:r>
      <w:r>
        <w:rPr>
          <w:rFonts w:ascii="Times New Roman" w:hAnsi="Times New Roman"/>
          <w:i/>
          <w:iCs/>
          <w:szCs w:val="24"/>
        </w:rPr>
        <w:t xml:space="preserve">oppure) </w:t>
      </w:r>
      <w:r>
        <w:rPr>
          <w:rFonts w:ascii="Times New Roman" w:hAnsi="Times New Roman"/>
          <w:szCs w:val="24"/>
        </w:rPr>
        <w:t xml:space="preserve"> senza limitazioni o esclusioni di informazioni</w:t>
      </w:r>
    </w:p>
    <w:p>
      <w:pPr>
        <w:pStyle w:val="ListParagraph"/>
        <w:numPr>
          <w:ilvl w:val="0"/>
          <w:numId w:val="4"/>
        </w:numPr>
        <w:tabs>
          <w:tab w:val="clear" w:pos="708"/>
          <w:tab w:val="left" w:pos="0" w:leader="none"/>
        </w:tabs>
        <w:ind w:left="284" w:right="191" w:hanging="426"/>
        <w:rPr>
          <w:rFonts w:ascii="Times New Roman" w:hAnsi="Times New Roman"/>
          <w:color w:val="000000"/>
          <w:szCs w:val="24"/>
        </w:rPr>
      </w:pPr>
      <w:r>
        <w:rPr>
          <w:rFonts w:ascii="Times New Roman" w:hAnsi="Times New Roman"/>
          <w:b/>
          <w:bCs/>
          <w:i/>
          <w:iCs/>
          <w:szCs w:val="24"/>
        </w:rPr>
        <w:t>Solo per gli operatori economici ammessi al concordato preventivo con continuità aziendale di cui all’art. 186 bis del RD 16 marzo 1942 n. 267</w:t>
      </w:r>
      <w:r>
        <w:rPr>
          <w:rFonts w:ascii="Times New Roman" w:hAnsi="Times New Roman"/>
          <w:szCs w:val="24"/>
        </w:rPr>
        <w:t>, il concorrente indica, ad integrazione di quanto indicato nella parte III, sez. C, lett. d) del DGUE, gli estremi del provvedimento di ammissione al concordato e del provvedimento di autorizzazione a partecipare alle gare e il Tribunale di rilascio degli stessi nonché dichiara di non partecipare alla gara quale mandataria di un raggruppamento temporaneo di imprese e che le altre imprese aderenti al raggruppamento non sono assoggettate ad una procedura concorsuale ai sensi dell’art. 186 bis, comma 6 della legge fallimentare.</w:t>
      </w:r>
    </w:p>
    <w:p>
      <w:pPr>
        <w:pStyle w:val="ListParagraph"/>
        <w:tabs>
          <w:tab w:val="clear" w:pos="708"/>
          <w:tab w:val="left" w:pos="0" w:leader="none"/>
        </w:tabs>
        <w:ind w:left="284" w:right="191" w:hanging="0"/>
        <w:rPr>
          <w:rFonts w:ascii="Times New Roman" w:hAnsi="Times New Roman"/>
          <w:b/>
          <w:b/>
          <w:bCs/>
          <w:i/>
          <w:i/>
          <w:iCs/>
          <w:szCs w:val="24"/>
        </w:rPr>
      </w:pPr>
      <w:r>
        <w:rPr>
          <w:rFonts w:ascii="Times New Roman" w:hAnsi="Times New Roman"/>
          <w:b/>
          <w:bCs/>
          <w:i/>
          <w:iCs/>
          <w:szCs w:val="24"/>
        </w:rPr>
      </w:r>
    </w:p>
    <w:p>
      <w:pPr>
        <w:pStyle w:val="ListParagraph"/>
        <w:tabs>
          <w:tab w:val="clear" w:pos="708"/>
          <w:tab w:val="left" w:pos="0" w:leader="none"/>
        </w:tabs>
        <w:ind w:left="284" w:right="191" w:hanging="0"/>
        <w:rPr>
          <w:rFonts w:ascii="Times New Roman" w:hAnsi="Times New Roman"/>
          <w:color w:val="000000"/>
          <w:szCs w:val="24"/>
        </w:rPr>
      </w:pPr>
      <w:r>
        <w:rPr>
          <w:rFonts w:ascii="Times New Roman" w:hAnsi="Times New Roman"/>
          <w:i/>
          <w:iCs/>
          <w:szCs w:val="24"/>
        </w:rPr>
        <w:t>Luogo &lt;  &gt;   data &lt;  &gt;</w:t>
      </w:r>
      <w:bookmarkStart w:id="3" w:name="_Hlk72181463"/>
      <w:bookmarkEnd w:id="3"/>
    </w:p>
    <w:p>
      <w:pPr>
        <w:pStyle w:val="ListParagraph"/>
        <w:ind w:left="0" w:hanging="0"/>
        <w:rPr>
          <w:rFonts w:ascii="Times New Roman" w:hAnsi="Times New Roman" w:eastAsia="Garamond"/>
          <w:sz w:val="22"/>
          <w:lang w:eastAsia="en-US"/>
        </w:rPr>
      </w:pPr>
      <w:r>
        <w:rPr>
          <w:rFonts w:eastAsia="Garamond" w:ascii="Times New Roman" w:hAnsi="Times New Roman"/>
          <w:sz w:val="22"/>
          <w:lang w:eastAsia="en-US"/>
        </w:rPr>
      </w:r>
    </w:p>
    <w:p>
      <w:pPr>
        <w:pStyle w:val="ListParagraph"/>
        <w:ind w:left="0" w:firstLine="7088"/>
        <w:rPr>
          <w:rFonts w:ascii="Times New Roman" w:hAnsi="Times New Roman" w:eastAsia="Calibri" w:eastAsiaTheme="minorHAnsi"/>
          <w:color w:val="000000"/>
          <w:szCs w:val="24"/>
        </w:rPr>
      </w:pPr>
      <w:r>
        <w:rPr>
          <w:rFonts w:eastAsia="Calibri" w:ascii="Times New Roman" w:hAnsi="Times New Roman" w:eastAsiaTheme="minorHAnsi"/>
          <w:color w:val="000000"/>
          <w:szCs w:val="24"/>
        </w:rPr>
        <w:t>Firma digitale</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&amp;&amp;&amp;</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b/>
          <w:b/>
          <w:bCs/>
          <w:color w:val="000000"/>
        </w:rPr>
      </w:pPr>
      <w:r>
        <w:rPr>
          <w:rFonts w:ascii="Times New Roman" w:hAnsi="Times New Roman"/>
          <w:b/>
          <w:bCs/>
          <w:color w:val="000000"/>
        </w:rPr>
        <w:t xml:space="preserve">NOTE </w:t>
      </w:r>
    </w:p>
    <w:p>
      <w:pPr>
        <w:pStyle w:val="Normal"/>
        <w:rPr>
          <w:rFonts w:ascii="Times New Roman" w:hAnsi="Times New Roman"/>
          <w:color w:val="000000"/>
        </w:rPr>
      </w:pPr>
      <w:r>
        <w:rPr>
          <w:rFonts w:cs="Times New Roman"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La presente dichiarazione è </w:t>
      </w:r>
      <w:r>
        <w:rPr>
          <w:rFonts w:ascii="Times New Roman" w:hAnsi="Times New Roman"/>
          <w:b/>
          <w:bCs/>
          <w:color w:val="000000"/>
        </w:rPr>
        <w:t>presentata e sottoscritta digitalmente</w:t>
      </w:r>
      <w:r>
        <w:rPr>
          <w:rFonts w:ascii="Times New Roman" w:hAnsi="Times New Roman"/>
          <w:color w:val="000000"/>
        </w:rPr>
        <w:t xml:space="preserve"> dal titolare o legale rappresentante del concorrente singolo oppure dai legali rappresentanti dei seguenti soggetti: </w:t>
      </w:r>
    </w:p>
    <w:p>
      <w:pPr>
        <w:pStyle w:val="ListParagraph"/>
        <w:numPr>
          <w:ilvl w:val="0"/>
          <w:numId w:val="2"/>
        </w:numPr>
        <w:rPr>
          <w:rFonts w:ascii="Times New Roman" w:hAnsi="Times New Roman"/>
          <w:color w:val="000000"/>
          <w:sz w:val="22"/>
        </w:rPr>
      </w:pPr>
      <w:r>
        <w:rPr>
          <w:rFonts w:ascii="Times New Roman" w:hAnsi="Times New Roman"/>
          <w:color w:val="000000"/>
          <w:sz w:val="22"/>
        </w:rPr>
        <w:t>nel caso di raggruppamenti temporanei, consorzi ordinari, GEIE, da ciascuno degli operatori economici che partecipano alla procedura in forma congiunta;</w:t>
      </w:r>
    </w:p>
    <w:p>
      <w:pPr>
        <w:pStyle w:val="ListParagraph"/>
        <w:numPr>
          <w:ilvl w:val="0"/>
          <w:numId w:val="2"/>
        </w:numPr>
        <w:rPr>
          <w:rFonts w:ascii="Times New Roman" w:hAnsi="Times New Roman"/>
          <w:color w:val="000000"/>
          <w:sz w:val="22"/>
        </w:rPr>
      </w:pPr>
      <w:r>
        <w:rPr>
          <w:rFonts w:ascii="Times New Roman" w:hAnsi="Times New Roman"/>
          <w:color w:val="000000"/>
          <w:sz w:val="22"/>
        </w:rPr>
        <w:t>nel caso di consorzi cooperativi, di consorzi artigiani e di consorzi stabili, dal consorzio medesimo e dai consorziati per conto dei quali il consorzio concorre.</w:t>
      </w:r>
    </w:p>
    <w:p>
      <w:pPr>
        <w:pStyle w:val="ListParagraph"/>
        <w:numPr>
          <w:ilvl w:val="0"/>
          <w:numId w:val="2"/>
        </w:numPr>
        <w:rPr>
          <w:rFonts w:ascii="Times New Roman" w:hAnsi="Times New Roman"/>
          <w:color w:val="000000"/>
          <w:sz w:val="22"/>
        </w:rPr>
      </w:pPr>
      <w:r>
        <w:rPr>
          <w:rFonts w:ascii="Times New Roman" w:hAnsi="Times New Roman"/>
          <w:color w:val="000000"/>
          <w:sz w:val="22"/>
        </w:rPr>
        <w:t>dalla società ausiliaria, se presente.</w:t>
      </w:r>
    </w:p>
    <w:p>
      <w:pPr>
        <w:pStyle w:val="Normal"/>
        <w:ind w:left="720" w:hanging="0"/>
        <w:jc w:val="center"/>
        <w:rPr>
          <w:rFonts w:ascii="Times New Roman" w:hAnsi="Times New Roman"/>
          <w:color w:val="000000"/>
        </w:rPr>
      </w:pPr>
      <w:r>
        <w:rPr>
          <w:rFonts w:ascii="Times New Roman" w:hAnsi="Times New Roman"/>
          <w:color w:val="000000"/>
        </w:rPr>
      </w:r>
    </w:p>
    <w:p>
      <w:pPr>
        <w:pStyle w:val="Normal"/>
        <w:tabs>
          <w:tab w:val="clear" w:pos="708"/>
          <w:tab w:val="left" w:pos="567" w:leader="none"/>
          <w:tab w:val="left" w:pos="2410" w:leader="none"/>
          <w:tab w:val="left" w:pos="6096" w:leader="none"/>
          <w:tab w:val="left" w:pos="7938" w:leader="none"/>
        </w:tabs>
        <w:rPr>
          <w:rFonts w:eastAsia="Arial Unicode MS"/>
          <w:smallCaps/>
        </w:rPr>
      </w:pPr>
      <w:r>
        <w:rPr>
          <w:rFonts w:cs="Times New Roman" w:ascii="Times New Roman" w:hAnsi="Times New Roman"/>
          <w:lang w:eastAsia="it-IT"/>
        </w:rPr>
        <w:t>□</w:t>
      </w:r>
      <w:r>
        <w:rPr>
          <w:rFonts w:ascii="Times New Roman" w:hAnsi="Times New Roman"/>
          <w:lang w:eastAsia="it-IT"/>
        </w:rPr>
        <w:t xml:space="preserve"> </w:t>
      </w:r>
      <w:r>
        <w:rPr>
          <w:rFonts w:ascii="Times New Roman" w:hAnsi="Times New Roman"/>
          <w:lang w:eastAsia="it-IT"/>
        </w:rPr>
        <w:t>N</w:t>
      </w:r>
      <w:r>
        <w:rPr>
          <w:rFonts w:eastAsia="Times New Roman" w:ascii="Times New Roman" w:hAnsi="Times New Roman"/>
          <w:lang w:eastAsia="it-IT"/>
        </w:rPr>
        <w:t xml:space="preserve">el caso in cui la dichiarazione non sia firmata dal legale rappresentante dell’impresa </w:t>
      </w:r>
      <w:r>
        <w:rPr>
          <w:rFonts w:ascii="Times New Roman" w:hAnsi="Times New Roman"/>
          <w:lang w:eastAsia="it-IT"/>
        </w:rPr>
        <w:t xml:space="preserve">ma da altro soggetto autorizzato </w:t>
      </w:r>
      <w:r>
        <w:rPr>
          <w:rFonts w:eastAsia="Times New Roman" w:ascii="Times New Roman" w:hAnsi="Times New Roman"/>
          <w:b/>
          <w:bCs/>
          <w:lang w:eastAsia="it-IT"/>
        </w:rPr>
        <w:t>allegare</w:t>
      </w:r>
      <w:r>
        <w:rPr>
          <w:rFonts w:ascii="Times New Roman" w:hAnsi="Times New Roman"/>
          <w:b/>
          <w:bCs/>
          <w:lang w:eastAsia="it-IT"/>
        </w:rPr>
        <w:t xml:space="preserve"> </w:t>
      </w:r>
      <w:r>
        <w:rPr>
          <w:rFonts w:eastAsia="Times New Roman" w:ascii="Times New Roman" w:hAnsi="Times New Roman"/>
          <w:b/>
          <w:bCs/>
          <w:lang w:eastAsia="it-IT"/>
        </w:rPr>
        <w:t xml:space="preserve">copia </w:t>
      </w:r>
      <w:r>
        <w:rPr>
          <w:rFonts w:ascii="Times New Roman" w:hAnsi="Times New Roman"/>
          <w:b/>
          <w:bCs/>
          <w:color w:val="000000"/>
          <w:sz w:val="23"/>
          <w:szCs w:val="23"/>
        </w:rPr>
        <w:t>conforme all’originale della procura</w:t>
      </w:r>
      <w:r>
        <w:rPr>
          <w:rFonts w:ascii="Times New Roman" w:hAnsi="Times New Roman"/>
          <w:color w:val="000000"/>
          <w:sz w:val="23"/>
          <w:szCs w:val="23"/>
        </w:rPr>
        <w:t xml:space="preserve">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Normal"/>
        <w:ind w:left="720" w:hanging="0"/>
        <w:jc w:val="center"/>
        <w:rPr>
          <w:rFonts w:ascii="Times New Roman" w:hAnsi="Times New Roman"/>
          <w:color w:val="000000"/>
        </w:rPr>
      </w:pPr>
      <w:r>
        <w:rPr/>
      </w:r>
    </w:p>
    <w:sectPr>
      <w:headerReference w:type="default" r:id="rId2"/>
      <w:type w:val="nextPage"/>
      <w:pgSz w:w="12240" w:h="15840"/>
      <w:pgMar w:left="1134" w:right="1134" w:header="708"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aramond">
    <w:charset w:val="00"/>
    <w:family w:val="roman"/>
    <w:pitch w:val="variable"/>
  </w:font>
  <w:font w:name="Courier 10 cpi">
    <w:charset w:val="00"/>
    <w:family w:val="roman"/>
    <w:pitch w:val="variable"/>
  </w:font>
  <w:font w:name="Wingdings">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cs="Times New Roman"/>
        <w:b/>
        <w:b/>
        <w:sz w:val="24"/>
        <w:szCs w:val="24"/>
      </w:rPr>
    </w:pPr>
    <w:r>
      <w:rPr>
        <w:rFonts w:cs="Times New Roman" w:ascii="Times New Roman" w:hAnsi="Times New Roman"/>
        <w:b/>
        <w:sz w:val="24"/>
        <w:szCs w:val="24"/>
      </w:rPr>
      <w:t>ALLEGATO 3</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80" w:hanging="360"/>
      </w:pPr>
      <w:rPr>
        <w:vertAlign w:val="superscript"/>
        <w:sz w:val="22"/>
        <w:b/>
        <w:rFonts w:eastAsia="Garamond"/>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b08"/>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3Carattere" w:customStyle="1">
    <w:name w:val="Corpo del testo 3 Carattere"/>
    <w:basedOn w:val="DefaultParagraphFont"/>
    <w:link w:val="Corpodeltesto3"/>
    <w:qFormat/>
    <w:rsid w:val="009c1b08"/>
    <w:rPr>
      <w:rFonts w:ascii="Arial" w:hAnsi="Arial" w:eastAsia="Times New Roman" w:cs="Arial"/>
      <w:b/>
      <w:kern w:val="2"/>
      <w:sz w:val="20"/>
      <w:szCs w:val="20"/>
      <w:lang w:eastAsia="it-IT" w:bidi="hi-IN"/>
    </w:rPr>
  </w:style>
  <w:style w:type="character" w:styleId="CorpotestoCarattere" w:customStyle="1">
    <w:name w:val="Corpo testo Carattere"/>
    <w:basedOn w:val="DefaultParagraphFont"/>
    <w:link w:val="Corpotesto"/>
    <w:uiPriority w:val="99"/>
    <w:semiHidden/>
    <w:qFormat/>
    <w:rsid w:val="005d3b72"/>
    <w:rPr/>
  </w:style>
  <w:style w:type="character" w:styleId="IntestazioneCarattere" w:customStyle="1">
    <w:name w:val="Intestazione Carattere"/>
    <w:basedOn w:val="DefaultParagraphFont"/>
    <w:link w:val="Intestazione"/>
    <w:uiPriority w:val="99"/>
    <w:qFormat/>
    <w:rsid w:val="003b2d1e"/>
    <w:rPr/>
  </w:style>
  <w:style w:type="character" w:styleId="PidipaginaCarattere" w:customStyle="1">
    <w:name w:val="Piè di pagina Carattere"/>
    <w:basedOn w:val="DefaultParagraphFont"/>
    <w:link w:val="Pidipagina"/>
    <w:uiPriority w:val="99"/>
    <w:qFormat/>
    <w:rsid w:val="003b2d1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5d3b72"/>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odyText3">
    <w:name w:val="Body Text 3"/>
    <w:basedOn w:val="Normal"/>
    <w:link w:val="Corpodeltesto3Carattere"/>
    <w:unhideWhenUsed/>
    <w:qFormat/>
    <w:rsid w:val="009c1b08"/>
    <w:pPr>
      <w:tabs>
        <w:tab w:val="clear" w:pos="708"/>
        <w:tab w:val="left" w:pos="426" w:leader="none"/>
      </w:tabs>
      <w:suppressAutoHyphens w:val="true"/>
      <w:spacing w:lineRule="atLeast" w:line="240"/>
    </w:pPr>
    <w:rPr>
      <w:rFonts w:ascii="Arial" w:hAnsi="Arial" w:eastAsia="Times New Roman" w:cs="Arial"/>
      <w:b/>
      <w:kern w:val="2"/>
      <w:sz w:val="20"/>
      <w:szCs w:val="20"/>
      <w:lang w:eastAsia="it-IT" w:bidi="hi-IN"/>
    </w:rPr>
  </w:style>
  <w:style w:type="paragraph" w:styleId="Default" w:customStyle="1">
    <w:name w:val="Default"/>
    <w:qFormat/>
    <w:rsid w:val="009c1b08"/>
    <w:pPr>
      <w:widowControl/>
      <w:bidi w:val="0"/>
      <w:spacing w:lineRule="auto" w:line="240" w:before="0" w:after="0"/>
      <w:jc w:val="left"/>
    </w:pPr>
    <w:rPr>
      <w:rFonts w:ascii="Calibri" w:hAnsi="Calibri" w:cs="Calibri" w:eastAsia="Calibri"/>
      <w:color w:val="000000"/>
      <w:kern w:val="0"/>
      <w:sz w:val="24"/>
      <w:szCs w:val="24"/>
      <w:lang w:val="it-IT" w:eastAsia="en-US" w:bidi="ar-SA"/>
    </w:rPr>
  </w:style>
  <w:style w:type="paragraph" w:styleId="ListParagraph">
    <w:name w:val="List Paragraph"/>
    <w:basedOn w:val="Normal"/>
    <w:uiPriority w:val="1"/>
    <w:qFormat/>
    <w:rsid w:val="00a766e8"/>
    <w:pPr>
      <w:spacing w:lineRule="auto" w:line="276"/>
      <w:ind w:left="720" w:hanging="0"/>
    </w:pPr>
    <w:rPr>
      <w:rFonts w:ascii="Garamond" w:hAnsi="Garamond" w:eastAsia="Calibri" w:cs="Times New Roman"/>
      <w:sz w:val="24"/>
      <w:lang w:eastAsia="it-IT"/>
    </w:rPr>
  </w:style>
  <w:style w:type="paragraph" w:styleId="Textbody" w:customStyle="1">
    <w:name w:val="Text body"/>
    <w:basedOn w:val="Normal"/>
    <w:qFormat/>
    <w:rsid w:val="003d3fa6"/>
    <w:pPr>
      <w:suppressAutoHyphens w:val="true"/>
      <w:spacing w:before="0" w:after="120"/>
      <w:jc w:val="left"/>
    </w:pPr>
    <w:rPr>
      <w:rFonts w:ascii="Courier 10 cpi" w:hAnsi="Courier 10 cpi" w:eastAsia="Times New Roman" w:cs="Courier 10 cpi"/>
      <w:kern w:val="2"/>
      <w:sz w:val="20"/>
      <w:szCs w:val="20"/>
      <w:lang w:eastAsia="it-IT" w:bidi="hi-I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b2d1e"/>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b2d1e"/>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140E-D3A6-4919-82EB-9484A59C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LibreOffice/7.1.3.2$Windows_X86_64 LibreOffice_project/47f78053abe362b9384784d31a6e56f8511eb1c1</Application>
  <AppVersion>15.0000</AppVersion>
  <Pages>4</Pages>
  <Words>1391</Words>
  <Characters>7802</Characters>
  <CharactersWithSpaces>9297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2020-06-10T21:51:00Z</dcterms:created>
  <dc:creator>GP</dc:creator>
  <dc:description/>
  <dc:language>it-IT</dc:language>
  <cp:lastModifiedBy/>
  <dcterms:modified xsi:type="dcterms:W3CDTF">2021-06-04T05:12:32Z</dcterms:modified>
  <cp:revision>388</cp:revision>
  <dc:subject/>
  <dc:title/>
</cp:coreProperties>
</file>

<file path=docProps/custom.xml><?xml version="1.0" encoding="utf-8"?>
<Properties xmlns="http://schemas.openxmlformats.org/officeDocument/2006/custom-properties" xmlns:vt="http://schemas.openxmlformats.org/officeDocument/2006/docPropsVTypes"/>
</file>